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EF6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</w:rPr>
        <w:t>蚌埠学院202</w:t>
      </w: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</w:rPr>
        <w:t>年宣传片摄制</w:t>
      </w:r>
      <w:bookmarkStart w:id="0" w:name="_GoBack"/>
      <w:bookmarkEnd w:id="0"/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eastAsia="zh-CN"/>
        </w:rPr>
        <w:t>项目</w:t>
      </w:r>
    </w:p>
    <w:p w14:paraId="31634B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rPr>
          <w:rFonts w:hint="default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eastAsia="zh-CN"/>
        </w:rPr>
        <w:t>询比（二次）材料</w:t>
      </w:r>
    </w:p>
    <w:p w14:paraId="3E75CC07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采购需求</w:t>
      </w:r>
    </w:p>
    <w:p w14:paraId="3FC1A256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服务要求</w:t>
      </w:r>
    </w:p>
    <w:p w14:paraId="2654FA2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1.技术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画面无抖动、无噪点、无明显色差。需提供配音稿及字幕文件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确保声音清晰、无杂音、无失真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配音、背景音乐与画面内容协调统一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音量适中。</w:t>
      </w:r>
    </w:p>
    <w:p w14:paraId="11C622E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拍摄蚌埠学院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2025招生宣传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片和蚌埠学院本科教育教学审核评估宣传片，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具体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视频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最终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拍摄脚本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为准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 w14:paraId="7F130017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履约要求</w:t>
      </w:r>
    </w:p>
    <w:p w14:paraId="7C8A6C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素材收集与场地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勘察：公司需派专人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与学校宣传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等相关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及师生代表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进行现场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沟通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收集文字、图片、视频素材。沟通结束后 2 个工作日内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实地勘查校园环境、教学设施等拍摄场地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制定拍摄计划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确定拍摄时间、地点与场景。</w:t>
      </w:r>
    </w:p>
    <w:p w14:paraId="7EA006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本策划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实地踩点后依据学校反馈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 个工作日内修改完善脚本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方案需包含分镜头脚本与拍摄场景规划。</w:t>
      </w:r>
    </w:p>
    <w:p w14:paraId="2C5C38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3.拍摄及后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期制作要求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</w:p>
    <w:p w14:paraId="5BF5CA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拍摄：根据拍摄大纲按计划开展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拍摄。</w:t>
      </w:r>
    </w:p>
    <w:p w14:paraId="39F9E6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剪辑：用专业软件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借蒙太奇等手法把控节奏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增强观赏性。</w:t>
      </w:r>
    </w:p>
    <w:p w14:paraId="5DC424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调色：统一素材色调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营造适配氛围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突出层次感。</w:t>
      </w:r>
    </w:p>
    <w:p w14:paraId="2D1C8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特效：适量用转场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、数据可视化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等特效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提升视觉冲击。</w:t>
      </w:r>
    </w:p>
    <w:p w14:paraId="2E1128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字幕：添加准确清晰字幕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保证与画面协调。</w:t>
      </w:r>
    </w:p>
    <w:p w14:paraId="5F8293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配音：请专业配音员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依风格确定配音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匹配画面传递信息。</w:t>
      </w:r>
    </w:p>
    <w:p w14:paraId="6868D5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配乐：选契合主题的音乐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，供应商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解决版权问题。</w:t>
      </w:r>
    </w:p>
    <w:p w14:paraId="527F99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4.不得转包、分包：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供应商必须自行完成本项目约定的全部内容，未经校方书面同意，不得全部或部分转包给第三方。如发现存在未经允许的转包、分包行为，合约立刻终止。</w:t>
      </w:r>
    </w:p>
    <w:p w14:paraId="37804BE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服务期限</w:t>
      </w:r>
    </w:p>
    <w:p w14:paraId="040F59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1.合同签订：成交供应商需在成交公告公示完成后3 个工作日内与学校签订合同。</w:t>
      </w:r>
    </w:p>
    <w:p w14:paraId="0A993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2.拍摄制作：①招生宣传片需于6月2日前完成拍摄及后期制作，提交初稿供学校审核 ；②审核评估宣传片需于6月30日前完成拍摄及后期制作，提交初稿供学校审核。</w:t>
      </w:r>
    </w:p>
    <w:p w14:paraId="577373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default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3.修改完善：根据学校的审核意见，供应商需在5个工作日内完成修改完善，最终必须于6月13日前和7月18日前分别提交招生宣传片和审核评估宣传片最终成片。</w:t>
      </w:r>
    </w:p>
    <w:p w14:paraId="58969249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交付条件</w:t>
      </w:r>
    </w:p>
    <w:p w14:paraId="156B874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1.交付要求</w:t>
      </w:r>
    </w:p>
    <w:p w14:paraId="7A3AC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①招生宣传片：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影片时长：3分钟左右；影片格式：数字高清MP4；影片像素：横屏（1920*1080）并提供可在12.48米*4.16米（分辨率6708*2236）大屏上播放的高清版本；拍摄方式：航拍+地拍+动态特效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 w14:paraId="1034AF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②审核评估宣传片：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影片时长：5分钟左右；影片格式：数字高清 MP4；影片像素：横屏（1920*1080）并提供可在12.48米*4.16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米（分辨率6708*2236）大屏上播放的高清版本；拍摄方式：航拍+地拍+动态特效。</w:t>
      </w:r>
    </w:p>
    <w:p w14:paraId="1BF4F7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2.交付方式</w:t>
      </w:r>
    </w:p>
    <w:p w14:paraId="7D59983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交付成片及原始拍摄素材，通过硬盘拷贝方式交接。</w:t>
      </w:r>
    </w:p>
    <w:p w14:paraId="14BA84BC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付款方式</w:t>
      </w:r>
    </w:p>
    <w:p w14:paraId="2DB9FE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分两次结清：招生宣传片制作完成，验收合格后，支付合同约定的招生宣传片拍摄制作签约价格。审核评估宣传片制作完成，验收合格后，支付合同约定的审核评估宣传片拍摄制作签约价格。</w:t>
      </w:r>
    </w:p>
    <w:p w14:paraId="239EF9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1AB958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0C15571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</w:p>
    <w:p w14:paraId="130BE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both"/>
        <w:rPr>
          <w:rFonts w:hint="eastAsia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  <w:br w:type="page"/>
      </w:r>
    </w:p>
    <w:p w14:paraId="1022F10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二、评审标准</w:t>
      </w:r>
    </w:p>
    <w:tbl>
      <w:tblPr>
        <w:tblStyle w:val="5"/>
        <w:tblpPr w:leftFromText="180" w:rightFromText="180" w:vertAnchor="text" w:horzAnchor="page" w:tblpX="1102" w:tblpY="734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17"/>
        <w:gridCol w:w="437"/>
        <w:gridCol w:w="603"/>
        <w:gridCol w:w="5747"/>
        <w:gridCol w:w="2225"/>
      </w:tblGrid>
      <w:tr w14:paraId="79EC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89" w:type="dxa"/>
            <w:vAlign w:val="center"/>
          </w:tcPr>
          <w:p w14:paraId="7424E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序</w:t>
            </w:r>
          </w:p>
          <w:p w14:paraId="45C8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4" w:type="dxa"/>
            <w:gridSpan w:val="2"/>
            <w:vAlign w:val="center"/>
          </w:tcPr>
          <w:p w14:paraId="4E46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评审因素及权重</w:t>
            </w:r>
          </w:p>
        </w:tc>
        <w:tc>
          <w:tcPr>
            <w:tcW w:w="603" w:type="dxa"/>
            <w:vAlign w:val="center"/>
          </w:tcPr>
          <w:p w14:paraId="77F78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747" w:type="dxa"/>
            <w:vAlign w:val="center"/>
          </w:tcPr>
          <w:p w14:paraId="6F48A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评审依据</w:t>
            </w:r>
          </w:p>
        </w:tc>
        <w:tc>
          <w:tcPr>
            <w:tcW w:w="2225" w:type="dxa"/>
            <w:vAlign w:val="center"/>
          </w:tcPr>
          <w:p w14:paraId="523F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说    明</w:t>
            </w:r>
          </w:p>
        </w:tc>
      </w:tr>
      <w:tr w14:paraId="2A2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vMerge w:val="restart"/>
            <w:vAlign w:val="center"/>
          </w:tcPr>
          <w:p w14:paraId="4AF9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4420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资格</w:t>
            </w:r>
          </w:p>
          <w:p w14:paraId="68F4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审查</w:t>
            </w:r>
          </w:p>
        </w:tc>
        <w:tc>
          <w:tcPr>
            <w:tcW w:w="603" w:type="dxa"/>
            <w:vMerge w:val="restart"/>
            <w:vAlign w:val="center"/>
          </w:tcPr>
          <w:p w14:paraId="7DD0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4A0E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营业执照（复印件）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法人证书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（复印件）</w:t>
            </w:r>
          </w:p>
        </w:tc>
        <w:tc>
          <w:tcPr>
            <w:tcW w:w="2225" w:type="dxa"/>
            <w:vMerge w:val="restart"/>
            <w:vAlign w:val="center"/>
          </w:tcPr>
          <w:p w14:paraId="377BF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所有资料必须加盖单位公章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（复印件无效）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。文件不齐全或资格不符者不能进入评分环节。</w:t>
            </w:r>
          </w:p>
        </w:tc>
      </w:tr>
      <w:tr w14:paraId="49B9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42569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0F32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19BB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4426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）由代理人提交响应材料的，应提交法人授权委托书、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法人身份证复印件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及代理人身份证复印件</w:t>
            </w:r>
          </w:p>
        </w:tc>
        <w:tc>
          <w:tcPr>
            <w:tcW w:w="2225" w:type="dxa"/>
            <w:vMerge w:val="continue"/>
            <w:vAlign w:val="center"/>
          </w:tcPr>
          <w:p w14:paraId="0213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6AD9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7062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1B21D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7C9D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5364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）无重大违法记录声明函、无不良信用记录声明函</w:t>
            </w:r>
          </w:p>
        </w:tc>
        <w:tc>
          <w:tcPr>
            <w:tcW w:w="2225" w:type="dxa"/>
            <w:vMerge w:val="continue"/>
            <w:vAlign w:val="center"/>
          </w:tcPr>
          <w:p w14:paraId="4295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54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89" w:type="dxa"/>
            <w:vAlign w:val="center"/>
          </w:tcPr>
          <w:p w14:paraId="6E25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2"/>
            <w:vAlign w:val="center"/>
          </w:tcPr>
          <w:p w14:paraId="3869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03" w:type="dxa"/>
            <w:vAlign w:val="center"/>
          </w:tcPr>
          <w:p w14:paraId="3684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47" w:type="dxa"/>
            <w:vAlign w:val="center"/>
          </w:tcPr>
          <w:p w14:paraId="04A8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询比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基准价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其价格分为满分。其他企业的价格分统一按照下列公式计算：报价得分=（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询比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基准价/报价）×1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25" w:type="dxa"/>
            <w:vAlign w:val="center"/>
          </w:tcPr>
          <w:p w14:paraId="5FE1D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计算方法：资格审查合格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且报价最低的未超过预算价的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为有效最低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14:paraId="7D1B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9" w:type="dxa"/>
            <w:vMerge w:val="restart"/>
            <w:vAlign w:val="center"/>
          </w:tcPr>
          <w:p w14:paraId="6FD3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vMerge w:val="restart"/>
            <w:vAlign w:val="center"/>
          </w:tcPr>
          <w:p w14:paraId="1C5B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项目实施方案</w:t>
            </w:r>
          </w:p>
        </w:tc>
        <w:tc>
          <w:tcPr>
            <w:tcW w:w="437" w:type="dxa"/>
            <w:vAlign w:val="center"/>
          </w:tcPr>
          <w:p w14:paraId="7C65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体方案</w:t>
            </w:r>
          </w:p>
        </w:tc>
        <w:tc>
          <w:tcPr>
            <w:tcW w:w="603" w:type="dxa"/>
            <w:vMerge w:val="restart"/>
            <w:vAlign w:val="center"/>
          </w:tcPr>
          <w:p w14:paraId="1397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747" w:type="dxa"/>
            <w:vAlign w:val="center"/>
          </w:tcPr>
          <w:p w14:paraId="3658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提供蚌埠学院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年本科招生宣传片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、审核评估宣传片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拍摄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脚本及拍摄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方案。根据方案宣传创新性、可行性水平等进行评分。</w:t>
            </w:r>
          </w:p>
          <w:p w14:paraId="79B26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）脚本方案具备突出创意和独特视角，具备差异化竞争力，在同类型宣传中具有显著辨识度，得5分；脚本方案具有一定的创意和独特性，但创意形式较常见，得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脚本方案创意陈旧，套用模板化方案，表现形式与同类作品高度雷同，得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）脚本方案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情节设计紧密围绕核心宣传目标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逻辑清晰且节奏紧凑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，引发情感共鸣，传递信息有效，得5分；脚本方案主题明确但表达方式平淡，情感调动能力有限，得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3分；脚本方案情感表达生硬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、情节缺乏逻辑，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得0分。（3）脚本方案叙事结构新颖，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能够生动形象展现宣传内容，得5分；讲述方式和叙事结构传统缺乏亮点，得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分；叙事结构混乱，表现形式枯燥，得0分。（4）脚本方案能够采用前沿技术手段匹配内容，得5分；脚本方案技术应用符合内容基本需求，但表现方式较为常规，与内容结合不紧密，得3分；脚本方案技术应用落后于行业平均，得0分。</w:t>
            </w:r>
          </w:p>
        </w:tc>
        <w:tc>
          <w:tcPr>
            <w:tcW w:w="2225" w:type="dxa"/>
            <w:vMerge w:val="restart"/>
            <w:vAlign w:val="center"/>
          </w:tcPr>
          <w:p w14:paraId="3C7C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方案及相关资料为准。</w:t>
            </w:r>
          </w:p>
        </w:tc>
      </w:tr>
      <w:tr w14:paraId="42A7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89" w:type="dxa"/>
            <w:vMerge w:val="continue"/>
            <w:vAlign w:val="center"/>
          </w:tcPr>
          <w:p w14:paraId="13E0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vAlign w:val="center"/>
          </w:tcPr>
          <w:p w14:paraId="21D38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53079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量保障</w:t>
            </w:r>
          </w:p>
        </w:tc>
        <w:tc>
          <w:tcPr>
            <w:tcW w:w="603" w:type="dxa"/>
            <w:vMerge w:val="continue"/>
            <w:vAlign w:val="center"/>
          </w:tcPr>
          <w:p w14:paraId="659A9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47" w:type="dxa"/>
            <w:vAlign w:val="center"/>
          </w:tcPr>
          <w:p w14:paraId="4E68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需提交包含质量保障目标、质量控制计划及措施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，以及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与采购方沟通机制等要素的质量保障措施方案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并对其进行评审。</w:t>
            </w:r>
          </w:p>
          <w:p w14:paraId="44AB3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方案中应明确阐述质量保障目标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并依据项目具体状况制定相应的质量标准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此项可得5分；方案至少应涵盖质量保障目标和质量控制计划及措施两个核心方面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此项可得3分；若方案描述不够详尽或缺乏针对性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则此项只得1分；若未提供方案或内容杂乱无章、难以理解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则此项得0分。</w:t>
            </w:r>
          </w:p>
          <w:p w14:paraId="5978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对本项目视频制作的时间进度安排进行评分：若对项目实施周期有明确规划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并对关键时间节点进行了合理安排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此项可得5分；若对项目实施周期有基本的安排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计划方案内容较为详尽但总体上尚需改进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进度完成有待提升者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此项可得3分；若未对实施周期进行安排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计划完成进度缓慢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需进一步完善者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此项只得1分；未提供者得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分。</w:t>
            </w:r>
          </w:p>
        </w:tc>
        <w:tc>
          <w:tcPr>
            <w:tcW w:w="2225" w:type="dxa"/>
            <w:vMerge w:val="continue"/>
            <w:vAlign w:val="center"/>
          </w:tcPr>
          <w:p w14:paraId="140F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59D3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vAlign w:val="center"/>
          </w:tcPr>
          <w:p w14:paraId="35EE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0C9A7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历史</w:t>
            </w:r>
          </w:p>
          <w:p w14:paraId="13D2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603" w:type="dxa"/>
            <w:vAlign w:val="center"/>
          </w:tcPr>
          <w:p w14:paraId="026A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747" w:type="dxa"/>
            <w:vAlign w:val="center"/>
          </w:tcPr>
          <w:p w14:paraId="5B07F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供应商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须具备高校宣传片拍摄制作业绩经历，每提供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该类型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视频拍摄制作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得5分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最高得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分。 </w:t>
            </w:r>
          </w:p>
          <w:p w14:paraId="4102A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供应商制作的高校宣传片类、汇报片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获得国家级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、省级、地市级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行业主管部门颁发的奖项或荣誉的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扶持、推荐类作品除外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每提供一个得5分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最多得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国家级行业主管部门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中央宣传部、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文化和旅游部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、国家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广电总局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等。省级行业主管部门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省委宣传部、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省文化和旅游厅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、省广电局等。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市级行业主管部门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市委宣传部、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市文化旅游局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等。响应文件中提供获奖证书、批复、颁奖单位颁奖文件、网上公示截图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具有其中之一即可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等证明材料扫描件或影印件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未提供不得分。</w:t>
            </w:r>
          </w:p>
        </w:tc>
        <w:tc>
          <w:tcPr>
            <w:tcW w:w="2225" w:type="dxa"/>
            <w:vAlign w:val="center"/>
          </w:tcPr>
          <w:p w14:paraId="55FC0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业绩证明材料为合同复印件（须包含合同首页、实施内容标的物所在页及合同签字盖章页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无法体现项目内容、签订日期等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须另附证明材料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否则不得分）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，时间为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年1月1日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业绩时间以合同签订时间为准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1A3F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489" w:type="dxa"/>
            <w:vAlign w:val="center"/>
          </w:tcPr>
          <w:p w14:paraId="1080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gridSpan w:val="2"/>
            <w:vAlign w:val="center"/>
          </w:tcPr>
          <w:p w14:paraId="58D0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拍摄</w:t>
            </w:r>
          </w:p>
          <w:p w14:paraId="028C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设备</w:t>
            </w:r>
          </w:p>
        </w:tc>
        <w:tc>
          <w:tcPr>
            <w:tcW w:w="603" w:type="dxa"/>
            <w:vAlign w:val="center"/>
          </w:tcPr>
          <w:p w14:paraId="5938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47" w:type="dxa"/>
            <w:vAlign w:val="center"/>
          </w:tcPr>
          <w:p w14:paraId="4D73A0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专业级高清级别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4k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摄像机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无人机设备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无人机影像传感器不小于1英寸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4k分辨率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专业级高清非线性影视编辑系统及专业级动画制作系统一套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并具备独立操作的机房；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拍摄辅助器材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：如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电影高色温灯光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斯坦尼康稳定器、摇臂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轨道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、航拍灯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225" w:type="dxa"/>
            <w:vAlign w:val="center"/>
          </w:tcPr>
          <w:p w14:paraId="7693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设备需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提供购买发票或租赁合同复印件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机房须提供场地照片。 设备清单中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3项每满足一项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条件得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4项每满足一个得2分，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共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14:paraId="22C9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9" w:type="dxa"/>
            <w:vAlign w:val="center"/>
          </w:tcPr>
          <w:p w14:paraId="114A5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gridSpan w:val="2"/>
            <w:vAlign w:val="center"/>
          </w:tcPr>
          <w:p w14:paraId="6D21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团队人员配置</w:t>
            </w:r>
          </w:p>
        </w:tc>
        <w:tc>
          <w:tcPr>
            <w:tcW w:w="603" w:type="dxa"/>
            <w:vAlign w:val="center"/>
          </w:tcPr>
          <w:p w14:paraId="484EE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47" w:type="dxa"/>
            <w:vAlign w:val="center"/>
          </w:tcPr>
          <w:p w14:paraId="7C5ED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供应商拟为本项目配备的项目主创人员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制片、导演、摄影、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</w:rPr>
              <w:t>剪辑、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灯光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</w:rPr>
              <w:t>人员等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），须具备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相关专业的职称证书或相关专业毕业证书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每提供1个得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最高得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分。 </w:t>
            </w:r>
          </w:p>
        </w:tc>
        <w:tc>
          <w:tcPr>
            <w:tcW w:w="2225" w:type="dxa"/>
            <w:vAlign w:val="center"/>
          </w:tcPr>
          <w:p w14:paraId="2261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文件中须同时提供下列证明材料:人员名单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格式自拟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及证书扫描件；以上人员的相关在职证明材料复印件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截止时间前3个月内在该单位任意1个月社保缴纳证明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基本养老保险或基本医疗保险均可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未提供的得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14:paraId="17CE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9" w:type="dxa"/>
            <w:vAlign w:val="center"/>
          </w:tcPr>
          <w:p w14:paraId="50FE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CEA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603" w:type="dxa"/>
            <w:vAlign w:val="center"/>
          </w:tcPr>
          <w:p w14:paraId="70DD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747" w:type="dxa"/>
            <w:vAlign w:val="center"/>
          </w:tcPr>
          <w:p w14:paraId="300F1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vAlign w:val="center"/>
          </w:tcPr>
          <w:p w14:paraId="2F05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303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both"/>
        <w:textAlignment w:val="top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</w:p>
    <w:p w14:paraId="3E17D2BD"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65B8990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三、响应文件格式</w:t>
      </w:r>
    </w:p>
    <w:p w14:paraId="33EFE18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（一）资格审查材料</w:t>
      </w:r>
    </w:p>
    <w:p w14:paraId="335088F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1.营业执照（复印件）或法人证书（复印件）（加盖公章）</w:t>
      </w:r>
    </w:p>
    <w:p w14:paraId="379FAC3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2.由代理人提交响应材料的，应提交代理人身份证复印件及法人委托书、法人身份证复印件（含参考格式）（加盖公章）</w:t>
      </w:r>
    </w:p>
    <w:p w14:paraId="67FC0C66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3.无重大违法记录声明函、无不良信用记录声明函（含参考格式）（加盖公章）</w:t>
      </w:r>
    </w:p>
    <w:p w14:paraId="4C77842F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</w:p>
    <w:p w14:paraId="04E26017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199A3983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0982A4DE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为我公司法定代表人授权委托代理人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我均予以承认。</w:t>
      </w:r>
    </w:p>
    <w:p w14:paraId="2AD0831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特此委托。</w:t>
      </w:r>
    </w:p>
    <w:p w14:paraId="0727D529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3A99859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3D06E8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1209413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A29E16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DDCB893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7B44EC59">
      <w:pP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7DBE9610">
      <w:pPr>
        <w:pStyle w:val="4"/>
        <w:spacing w:before="0" w:after="0"/>
        <w:outlineLvl w:val="9"/>
        <w:rPr>
          <w:rFonts w:ascii="宋体" w:hAnsi="宋体" w:cs="等线"/>
          <w:sz w:val="30"/>
          <w:szCs w:val="30"/>
        </w:rPr>
      </w:pPr>
      <w:r>
        <w:rPr>
          <w:rFonts w:hint="eastAsia" w:ascii="宋体" w:hAnsi="宋体" w:cs="等线"/>
          <w:sz w:val="30"/>
          <w:szCs w:val="30"/>
        </w:rPr>
        <w:t>无重大违法记录声明函、无不良信用记录声明函</w:t>
      </w:r>
    </w:p>
    <w:p w14:paraId="43578E81">
      <w:pPr>
        <w:spacing w:line="440" w:lineRule="exact"/>
        <w:rPr>
          <w:rFonts w:hint="eastAsia" w:ascii="宋体" w:hAnsi="宋体" w:cs="等线" w:eastAsiaTheme="minorEastAsia"/>
          <w:sz w:val="24"/>
          <w:lang w:val="en-US" w:eastAsia="zh-CN"/>
        </w:rPr>
      </w:pPr>
      <w:r>
        <w:rPr>
          <w:rFonts w:hint="eastAsia" w:ascii="宋体" w:hAnsi="宋体" w:cs="等线"/>
          <w:sz w:val="24"/>
        </w:rPr>
        <w:t>致</w:t>
      </w:r>
      <w:r>
        <w:rPr>
          <w:rFonts w:hint="eastAsia" w:ascii="宋体" w:hAnsi="宋体" w:cs="等线"/>
          <w:sz w:val="24"/>
          <w:lang w:eastAsia="zh-CN"/>
        </w:rPr>
        <w:t>蚌埠学院：</w:t>
      </w:r>
      <w:r>
        <w:rPr>
          <w:rFonts w:hint="eastAsia" w:ascii="宋体" w:hAnsi="宋体" w:cs="等线"/>
          <w:sz w:val="24"/>
          <w:lang w:val="en-US" w:eastAsia="zh-CN"/>
        </w:rPr>
        <w:t xml:space="preserve"> </w:t>
      </w:r>
    </w:p>
    <w:p w14:paraId="1AD6633D">
      <w:pPr>
        <w:spacing w:line="440" w:lineRule="exact"/>
        <w:ind w:firstLine="480" w:firstLineChars="200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我单位 ___________________________</w:t>
      </w:r>
      <w:r>
        <w:rPr>
          <w:rFonts w:hint="eastAsia" w:ascii="宋体" w:hAnsi="宋体" w:cs="等线"/>
          <w:sz w:val="24"/>
          <w:lang w:val="en-US" w:eastAsia="zh-CN"/>
        </w:rPr>
        <w:t xml:space="preserve"> </w:t>
      </w:r>
      <w:r>
        <w:rPr>
          <w:rFonts w:hint="eastAsia" w:ascii="宋体" w:hAnsi="宋体" w:cs="等线"/>
          <w:sz w:val="24"/>
        </w:rPr>
        <w:t>（公司全称）郑重声明如下：</w:t>
      </w:r>
    </w:p>
    <w:p w14:paraId="7DF79A88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val="en-US" w:eastAsia="zh-CN"/>
        </w:rPr>
        <w:t>1.</w:t>
      </w:r>
      <w:r>
        <w:rPr>
          <w:rFonts w:hint="eastAsia" w:ascii="宋体" w:hAnsi="宋体" w:cs="等线"/>
          <w:sz w:val="24"/>
        </w:rPr>
        <w:t>截至本声明出具之日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我单位在经营活动中严格遵守国家法律法规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近____年（一般为3年）内不存在以下重大违法记录：</w:t>
      </w:r>
    </w:p>
    <w:p w14:paraId="4A91957A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1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因违法经营受到刑事处罚；</w:t>
      </w:r>
    </w:p>
    <w:p w14:paraId="7FA03F0A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2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被责令停产停业、吊销许可证或执照；</w:t>
      </w:r>
    </w:p>
    <w:p w14:paraId="177E896D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3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被处以较大数额罚款；</w:t>
      </w:r>
    </w:p>
    <w:p w14:paraId="42020D06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4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其他重大违法违规行为。</w:t>
      </w:r>
    </w:p>
    <w:p w14:paraId="7F44D50D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val="en-US" w:eastAsia="zh-CN"/>
        </w:rPr>
        <w:t>2.</w:t>
      </w:r>
      <w:r>
        <w:rPr>
          <w:rFonts w:hint="eastAsia" w:ascii="宋体" w:hAnsi="宋体" w:cs="等线"/>
          <w:sz w:val="24"/>
        </w:rPr>
        <w:t>截至本声明出具之日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本单位郑重声明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我单位无以下不良信用记录情形：</w:t>
      </w:r>
    </w:p>
    <w:p w14:paraId="53462EDE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（</w:t>
      </w:r>
      <w:r>
        <w:rPr>
          <w:rFonts w:ascii="宋体" w:hAnsi="宋体" w:cs="等线"/>
          <w:sz w:val="24"/>
        </w:rPr>
        <w:t>1</w:t>
      </w:r>
      <w:r>
        <w:rPr>
          <w:rFonts w:hint="eastAsia" w:ascii="宋体" w:hAnsi="宋体" w:cs="等线"/>
          <w:sz w:val="24"/>
        </w:rPr>
        <w:t>）被工商行政管理部门列入企业经营异常名录；</w:t>
      </w:r>
    </w:p>
    <w:p w14:paraId="7D023018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（</w:t>
      </w:r>
      <w:r>
        <w:rPr>
          <w:rFonts w:ascii="宋体" w:hAnsi="宋体" w:cs="等线"/>
          <w:sz w:val="24"/>
        </w:rPr>
        <w:t>2</w:t>
      </w:r>
      <w:r>
        <w:rPr>
          <w:rFonts w:hint="eastAsia" w:ascii="宋体" w:hAnsi="宋体" w:cs="等线"/>
          <w:sz w:val="24"/>
        </w:rPr>
        <w:t>）被税务部门列入重大税收违法案件当事人名单。</w:t>
      </w:r>
    </w:p>
    <w:p w14:paraId="0998D5DB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本单位对上述声明的真实性负责。如有虚假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将依法承担相应责任。</w:t>
      </w:r>
    </w:p>
    <w:p w14:paraId="4DAA8ABE">
      <w:pPr>
        <w:spacing w:line="440" w:lineRule="exact"/>
        <w:ind w:firstLine="435"/>
        <w:rPr>
          <w:rFonts w:hint="eastAsia" w:ascii="宋体" w:hAnsi="宋体" w:cs="等线"/>
          <w:sz w:val="24"/>
        </w:rPr>
      </w:pPr>
    </w:p>
    <w:p w14:paraId="07251BE1">
      <w:pPr>
        <w:spacing w:line="440" w:lineRule="exact"/>
        <w:ind w:firstLine="435"/>
        <w:rPr>
          <w:rFonts w:hint="eastAsia" w:ascii="宋体" w:hAnsi="宋体" w:cs="等线"/>
          <w:sz w:val="24"/>
        </w:rPr>
      </w:pPr>
    </w:p>
    <w:p w14:paraId="6D786B85">
      <w:pPr>
        <w:spacing w:line="440" w:lineRule="exact"/>
        <w:ind w:firstLine="4800" w:firstLineChars="2000"/>
        <w:rPr>
          <w:rFonts w:hint="eastAsia" w:ascii="宋体" w:hAnsi="宋体" w:cs="等线"/>
          <w:sz w:val="24"/>
        </w:rPr>
      </w:pPr>
    </w:p>
    <w:p w14:paraId="6EDBFE44">
      <w:pPr>
        <w:spacing w:line="440" w:lineRule="exact"/>
        <w:ind w:firstLine="4800" w:firstLineChars="2000"/>
        <w:rPr>
          <w:rFonts w:hint="eastAsia" w:ascii="宋体" w:hAnsi="宋体" w:cs="等线"/>
          <w:sz w:val="24"/>
        </w:rPr>
      </w:pPr>
    </w:p>
    <w:p w14:paraId="4879B61E">
      <w:pPr>
        <w:spacing w:line="440" w:lineRule="exact"/>
        <w:ind w:firstLine="4800" w:firstLineChars="2000"/>
        <w:rPr>
          <w:rFonts w:hint="eastAsia" w:ascii="宋体" w:hAnsi="宋体" w:cs="等线"/>
          <w:sz w:val="24"/>
          <w:szCs w:val="20"/>
        </w:rPr>
      </w:pPr>
      <w:r>
        <w:rPr>
          <w:rFonts w:hint="eastAsia" w:ascii="宋体" w:hAnsi="宋体" w:cs="等线"/>
          <w:sz w:val="24"/>
        </w:rPr>
        <w:t>供应商（盖章）：</w:t>
      </w:r>
      <w:r>
        <w:rPr>
          <w:rFonts w:hint="eastAsia" w:ascii="宋体" w:hAnsi="宋体" w:cs="等线"/>
          <w:sz w:val="24"/>
          <w:u w:val="single"/>
        </w:rPr>
        <w:t xml:space="preserve">             </w:t>
      </w:r>
    </w:p>
    <w:p w14:paraId="17C86E4D">
      <w:pPr>
        <w:spacing w:line="440" w:lineRule="exact"/>
        <w:ind w:firstLine="4800" w:firstLineChars="2000"/>
        <w:rPr>
          <w:rFonts w:hint="eastAsia" w:ascii="宋体" w:hAnsi="宋体" w:cs="等线"/>
          <w:sz w:val="24"/>
          <w:u w:val="single"/>
        </w:rPr>
      </w:pPr>
      <w:r>
        <w:rPr>
          <w:rFonts w:hint="eastAsia" w:ascii="宋体" w:hAnsi="宋体" w:cs="等线"/>
          <w:sz w:val="24"/>
        </w:rPr>
        <w:t>日          期：</w:t>
      </w:r>
      <w:r>
        <w:rPr>
          <w:rFonts w:hint="eastAsia" w:ascii="宋体" w:hAnsi="宋体" w:cs="等线"/>
          <w:sz w:val="24"/>
          <w:u w:val="single"/>
        </w:rPr>
        <w:t xml:space="preserve">             </w:t>
      </w:r>
    </w:p>
    <w:p w14:paraId="655B93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cs="等线"/>
          <w:sz w:val="24"/>
          <w:u w:val="single"/>
        </w:rPr>
        <w:br w:type="page"/>
      </w:r>
    </w:p>
    <w:p w14:paraId="204E7FD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（二）报价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（含参考格式）</w:t>
      </w:r>
    </w:p>
    <w:p w14:paraId="12CB7C9C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1546D7AD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553112F2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eastAsia="zh-CN"/>
        </w:rPr>
        <w:t>蚌埠学院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2025年宣传片摄制项目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6A689AC1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宣传片摄制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，其中，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2025年本科招生宣传片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2025年本科教育教学审核评估宣传片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。</w:t>
      </w:r>
    </w:p>
    <w:p w14:paraId="5C434B4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我方将严格履行合同规定的责任和义务。</w:t>
      </w:r>
    </w:p>
    <w:p w14:paraId="77C04A8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并保证我方已提供和将要提供的文件是真实的、准确的。</w:t>
      </w:r>
    </w:p>
    <w:p w14:paraId="41F2E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BD5089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6E4334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7BCC94D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3B82121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5C1D7B08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6BAE08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35EC5084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050D814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30A3D77B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78E0F1AA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6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1533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1B708388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55A7518E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C810681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45AEC8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60A6CD4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0B9BE89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2EDF063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068A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6226B2DE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5A8476F3"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年本科招生宣传片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BF951A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02" w:type="dxa"/>
            <w:vAlign w:val="center"/>
          </w:tcPr>
          <w:p w14:paraId="3F453E8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2175C6F3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27984A6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6403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543797C4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223980B6"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2025年本科教育教学审核评估宣传片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1CE85D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02" w:type="dxa"/>
            <w:vAlign w:val="center"/>
          </w:tcPr>
          <w:p w14:paraId="598B1D15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1EA75B5B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0B200D7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21CB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78FAB247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BFF6B36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781B01F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0A2A2E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3186D9BE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3C99CA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5EE2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99" w:type="dxa"/>
            <w:gridSpan w:val="6"/>
            <w:vAlign w:val="center"/>
          </w:tcPr>
          <w:p w14:paraId="129EE4CF"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：</w:t>
            </w:r>
          </w:p>
        </w:tc>
      </w:tr>
    </w:tbl>
    <w:p w14:paraId="3CFF0D32">
      <w:pPr>
        <w:jc w:val="center"/>
        <w:rPr>
          <w:rFonts w:ascii="宋体" w:hAnsi="宋体" w:eastAsia="宋体"/>
          <w:b/>
          <w:sz w:val="36"/>
        </w:rPr>
      </w:pPr>
    </w:p>
    <w:p w14:paraId="63EBAA97">
      <w:pPr>
        <w:rPr>
          <w:rFonts w:ascii="宋体" w:hAnsi="宋体" w:eastAsia="宋体"/>
          <w:b/>
          <w:sz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b/>
          <w:sz w:val="36"/>
        </w:rPr>
        <w:br w:type="page"/>
      </w:r>
    </w:p>
    <w:p w14:paraId="1FD2EBE8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项目实施方案</w:t>
      </w:r>
    </w:p>
    <w:p w14:paraId="1BE4DB80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历史业绩</w:t>
      </w:r>
    </w:p>
    <w:p w14:paraId="30017B61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拍摄设备</w:t>
      </w:r>
    </w:p>
    <w:p w14:paraId="3F900EB1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团队人员配置</w:t>
      </w:r>
    </w:p>
    <w:p w14:paraId="0CA93580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服务承诺书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（含参考格式）</w:t>
      </w:r>
    </w:p>
    <w:p w14:paraId="0EA83A42">
      <w:pPr>
        <w:rPr>
          <w:rFonts w:ascii="宋体" w:hAnsi="宋体" w:eastAsia="宋体"/>
          <w:b/>
          <w:sz w:val="36"/>
        </w:rPr>
      </w:pPr>
    </w:p>
    <w:p w14:paraId="114ED24C">
      <w:pPr>
        <w:widowControl/>
        <w:jc w:val="left"/>
        <w:rPr>
          <w:rFonts w:ascii="宋体" w:hAnsi="宋体" w:eastAsia="宋体"/>
          <w:b/>
          <w:sz w:val="36"/>
        </w:rPr>
      </w:pPr>
    </w:p>
    <w:p w14:paraId="2FEA1DF0"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71B3E2C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0D9831BC">
      <w:pPr>
        <w:spacing w:line="480" w:lineRule="auto"/>
        <w:ind w:firstLine="480" w:firstLineChars="200"/>
        <w:rPr>
          <w:rFonts w:hint="default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</w:p>
    <w:p w14:paraId="64A3FD7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69DFFCB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D23D5EE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AB7BB7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8ED88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E46374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649E3A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6A7372A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5D6E3A29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D465AB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B2C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759812B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0BAB2AF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009AAE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1F42D03-CE79-4F9A-BD59-77A93F4D53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BA24C2-B33C-433E-B1D6-AAAEBC034320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B18493C1-E855-46AA-9E81-122725BF3B6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08059BBD-9020-4531-B804-27A67F4B218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A55D0C7-89A2-455C-8155-9F86F1D2FD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72B1A"/>
    <w:multiLevelType w:val="singleLevel"/>
    <w:tmpl w:val="99572B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41DA53"/>
    <w:multiLevelType w:val="singleLevel"/>
    <w:tmpl w:val="F841DA53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666CC7F1"/>
    <w:multiLevelType w:val="singleLevel"/>
    <w:tmpl w:val="666CC7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3A52"/>
    <w:rsid w:val="04F979E5"/>
    <w:rsid w:val="077B3ED1"/>
    <w:rsid w:val="079218FE"/>
    <w:rsid w:val="0D6654DB"/>
    <w:rsid w:val="0D712426"/>
    <w:rsid w:val="162F731B"/>
    <w:rsid w:val="1686445B"/>
    <w:rsid w:val="19671717"/>
    <w:rsid w:val="206C46C2"/>
    <w:rsid w:val="22152FAD"/>
    <w:rsid w:val="2771750F"/>
    <w:rsid w:val="29723FBC"/>
    <w:rsid w:val="2A666825"/>
    <w:rsid w:val="2A852029"/>
    <w:rsid w:val="2DAD60CC"/>
    <w:rsid w:val="314A09A2"/>
    <w:rsid w:val="38907B06"/>
    <w:rsid w:val="38EB3A32"/>
    <w:rsid w:val="39795861"/>
    <w:rsid w:val="3B463DE3"/>
    <w:rsid w:val="3D9C58CC"/>
    <w:rsid w:val="439D37F0"/>
    <w:rsid w:val="43F73607"/>
    <w:rsid w:val="44880362"/>
    <w:rsid w:val="48505DAA"/>
    <w:rsid w:val="4B702A09"/>
    <w:rsid w:val="4B8645ED"/>
    <w:rsid w:val="4D2D3D22"/>
    <w:rsid w:val="4E93713A"/>
    <w:rsid w:val="513A1AEF"/>
    <w:rsid w:val="54815C87"/>
    <w:rsid w:val="553E1482"/>
    <w:rsid w:val="56A32371"/>
    <w:rsid w:val="596C0CB3"/>
    <w:rsid w:val="5D003BC4"/>
    <w:rsid w:val="5F2457B7"/>
    <w:rsid w:val="5F876D52"/>
    <w:rsid w:val="601C5AAA"/>
    <w:rsid w:val="61905473"/>
    <w:rsid w:val="653A7B9D"/>
    <w:rsid w:val="665235DF"/>
    <w:rsid w:val="67A31690"/>
    <w:rsid w:val="69437C0A"/>
    <w:rsid w:val="694D5036"/>
    <w:rsid w:val="6D7E75E8"/>
    <w:rsid w:val="6DAC4B73"/>
    <w:rsid w:val="720F447A"/>
    <w:rsid w:val="73A55CA2"/>
    <w:rsid w:val="754608D3"/>
    <w:rsid w:val="75587EE6"/>
    <w:rsid w:val="76C025DC"/>
    <w:rsid w:val="76D83357"/>
    <w:rsid w:val="7B0530B7"/>
    <w:rsid w:val="7C774CDF"/>
    <w:rsid w:val="7DE415FD"/>
    <w:rsid w:val="7ECF52A8"/>
    <w:rsid w:val="7EF3140C"/>
    <w:rsid w:val="7F9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3951</Words>
  <Characters>4126</Characters>
  <Lines>0</Lines>
  <Paragraphs>0</Paragraphs>
  <TotalTime>0</TotalTime>
  <ScaleCrop>false</ScaleCrop>
  <LinksUpToDate>false</LinksUpToDate>
  <CharactersWithSpaces>4575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Administrator</dc:creator>
  <cp:lastModifiedBy>喵哩</cp:lastModifiedBy>
  <cp:lastPrinted>2025-04-30T08:39:00Z</cp:lastPrinted>
  <dcterms:modified xsi:type="dcterms:W3CDTF">2025-05-14T08:33:55Z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eyJoZGlkIjoiZTMwODk1NDg4ODhmNzg4ZTBmMWU1Y2IwZTExMmJlZGEiLCJ1c2VySWQiOiIyNzE5ODUyNzEifQ==</vt:lpwstr>
  </property>
  <property fmtid="{D5CDD505-2E9C-101B-9397-08002B2CF9AE}" pid="4" name="ICV">
    <vt:lpwstr>8709F5B9D8034FE88945FBB20FEFA885_12</vt:lpwstr>
  </property>
</Properties>
</file>